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5E6DE" w14:textId="77777777" w:rsidR="00116BA3" w:rsidRDefault="00000000">
      <w:pPr>
        <w:pStyle w:val="Subtitle"/>
        <w:spacing w:before="200" w:after="200"/>
        <w:rPr>
          <w:b/>
          <w:sz w:val="36"/>
          <w:szCs w:val="36"/>
          <w:highlight w:val="yellow"/>
        </w:rPr>
      </w:pPr>
      <w:bookmarkStart w:id="0" w:name="_7ye8x8ud8gg3" w:colFirst="0" w:colLast="0"/>
      <w:bookmarkEnd w:id="0"/>
      <w:r>
        <w:rPr>
          <w:rFonts w:ascii="Proxima Nova" w:eastAsia="Proxima Nova" w:hAnsi="Proxima Nova" w:cs="Proxima Nova"/>
          <w:color w:val="636466"/>
        </w:rPr>
        <w:t xml:space="preserve">This hiring rubric sample assumes that the CTO is responsible for all five areas listed in our </w:t>
      </w:r>
      <w:hyperlink r:id="rId7">
        <w:r>
          <w:rPr>
            <w:rFonts w:ascii="Proxima Nova" w:eastAsia="Proxima Nova" w:hAnsi="Proxima Nova" w:cs="Proxima Nova"/>
            <w:color w:val="1155CC"/>
            <w:u w:val="single"/>
          </w:rPr>
          <w:t>Why You Need a Chief Talent Officer</w:t>
        </w:r>
      </w:hyperlink>
      <w:r>
        <w:rPr>
          <w:rFonts w:ascii="Proxima Nova" w:eastAsia="Proxima Nova" w:hAnsi="Proxima Nova" w:cs="Proxima Nova"/>
          <w:color w:val="636466"/>
        </w:rPr>
        <w:t xml:space="preserve"> article. You should tailor the rubric based on the scope of your own CTO role.</w:t>
      </w:r>
    </w:p>
    <w:p w14:paraId="59A68AFE" w14:textId="77777777" w:rsidR="00116BA3" w:rsidRDefault="00000000">
      <w:pPr>
        <w:pStyle w:val="Title"/>
        <w:spacing w:after="0"/>
      </w:pPr>
      <w:bookmarkStart w:id="1" w:name="_z26qgjti69ry" w:colFirst="0" w:colLast="0"/>
      <w:bookmarkEnd w:id="1"/>
      <w:r>
        <w:rPr>
          <w:rFonts w:ascii="Poppins" w:eastAsia="Poppins" w:hAnsi="Poppins" w:cs="Poppins"/>
          <w:color w:val="097878"/>
          <w:sz w:val="44"/>
          <w:szCs w:val="44"/>
        </w:rPr>
        <w:t>CTO Candidate Evaluation Rubric – Sample</w:t>
      </w:r>
    </w:p>
    <w:tbl>
      <w:tblPr>
        <w:tblStyle w:val="a"/>
        <w:tblW w:w="1149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710"/>
        <w:gridCol w:w="4455"/>
        <w:gridCol w:w="2325"/>
      </w:tblGrid>
      <w:tr w:rsidR="00116BA3" w14:paraId="54155DCE" w14:textId="77777777">
        <w:trPr>
          <w:trHeight w:val="495"/>
        </w:trPr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F22E4" w14:textId="77777777" w:rsidR="00116BA3" w:rsidRDefault="00000000">
            <w:pPr>
              <w:ind w:left="-90"/>
              <w:rPr>
                <w:rFonts w:ascii="Proxima Nova" w:eastAsia="Proxima Nova" w:hAnsi="Proxima Nova" w:cs="Proxima Nova"/>
                <w:u w:val="single"/>
              </w:rPr>
            </w:pPr>
            <w:r>
              <w:rPr>
                <w:rFonts w:ascii="Proxima Nova" w:eastAsia="Proxima Nova" w:hAnsi="Proxima Nova" w:cs="Proxima Nova"/>
                <w:u w:val="single"/>
              </w:rPr>
              <w:t xml:space="preserve">Candidate: </w:t>
            </w:r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A5EE4" w14:textId="77777777" w:rsidR="00116BA3" w:rsidRDefault="00000000">
            <w:pPr>
              <w:rPr>
                <w:rFonts w:ascii="Proxima Nova" w:eastAsia="Proxima Nova" w:hAnsi="Proxima Nova" w:cs="Proxima Nova"/>
                <w:u w:val="single"/>
              </w:rPr>
            </w:pPr>
            <w:r>
              <w:rPr>
                <w:rFonts w:ascii="Proxima Nova" w:eastAsia="Proxima Nova" w:hAnsi="Proxima Nova" w:cs="Proxima Nova"/>
                <w:u w:val="single"/>
              </w:rPr>
              <w:t>Interviewer: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73768" w14:textId="77777777" w:rsidR="00116BA3" w:rsidRDefault="00000000">
            <w:pPr>
              <w:rPr>
                <w:rFonts w:ascii="Proxima Nova" w:eastAsia="Proxima Nova" w:hAnsi="Proxima Nova" w:cs="Proxima Nova"/>
                <w:u w:val="single"/>
              </w:rPr>
            </w:pPr>
            <w:r>
              <w:rPr>
                <w:rFonts w:ascii="Proxima Nova" w:eastAsia="Proxima Nova" w:hAnsi="Proxima Nova" w:cs="Proxima Nova"/>
                <w:u w:val="single"/>
              </w:rPr>
              <w:t xml:space="preserve">Date: </w:t>
            </w:r>
          </w:p>
        </w:tc>
      </w:tr>
    </w:tbl>
    <w:p w14:paraId="52BC9D8C" w14:textId="77777777" w:rsidR="00116BA3" w:rsidRDefault="00000000">
      <w:pPr>
        <w:rPr>
          <w:rFonts w:ascii="Proxima Nova" w:eastAsia="Proxima Nova" w:hAnsi="Proxima Nova" w:cs="Proxima Nova"/>
          <w:b/>
        </w:rPr>
      </w:pPr>
      <w:r>
        <w:rPr>
          <w:rFonts w:ascii="Proxima Nova" w:eastAsia="Proxima Nova" w:hAnsi="Proxima Nova" w:cs="Proxima Nova"/>
          <w:b/>
        </w:rPr>
        <w:t xml:space="preserve">Please rate candidate on scale of 1-4 based on whether they hit our bar in each specific must-have: </w:t>
      </w:r>
    </w:p>
    <w:p w14:paraId="28F4EB69" w14:textId="77777777" w:rsidR="00116BA3" w:rsidRDefault="00000000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4 = Solidly meets the bar</w:t>
      </w:r>
    </w:p>
    <w:p w14:paraId="56F7F608" w14:textId="77777777" w:rsidR="00116BA3" w:rsidRDefault="00000000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3 = Yes, with some concerns</w:t>
      </w:r>
    </w:p>
    <w:p w14:paraId="01A6776A" w14:textId="77777777" w:rsidR="00116BA3" w:rsidRDefault="00000000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2 = Evidence points to no</w:t>
      </w:r>
    </w:p>
    <w:p w14:paraId="6A3FBD33" w14:textId="77777777" w:rsidR="00116BA3" w:rsidRDefault="00000000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1 = Big Red Flag in this area</w:t>
      </w:r>
    </w:p>
    <w:p w14:paraId="2A4A475D" w14:textId="77777777" w:rsidR="00116BA3" w:rsidRDefault="00000000">
      <w:pPr>
        <w:spacing w:before="200" w:after="200"/>
        <w:rPr>
          <w:rFonts w:ascii="Proxima Nova" w:eastAsia="Proxima Nova" w:hAnsi="Proxima Nova" w:cs="Proxima Nova"/>
          <w:i/>
        </w:rPr>
      </w:pPr>
      <w:r>
        <w:rPr>
          <w:rFonts w:ascii="Proxima Nova" w:eastAsia="Proxima Nova" w:hAnsi="Proxima Nova" w:cs="Proxima Nova"/>
          <w:i/>
        </w:rPr>
        <w:t>Note: The numbers are a rough guide—we care more about your impressions, questions, and thoughts on particular strengths and/or flags than we do about the numbers themselves; they’re just a helpful shorthand. Ultimately, hiring managers will make final decisions weighing various needs and trade-offs.</w:t>
      </w:r>
    </w:p>
    <w:tbl>
      <w:tblPr>
        <w:tblStyle w:val="a0"/>
        <w:tblW w:w="10815" w:type="dxa"/>
        <w:tblInd w:w="-15" w:type="dxa"/>
        <w:tblBorders>
          <w:top w:val="single" w:sz="8" w:space="0" w:color="E4DEDB"/>
          <w:left w:val="single" w:sz="8" w:space="0" w:color="E4DEDB"/>
          <w:bottom w:val="single" w:sz="8" w:space="0" w:color="E4DEDB"/>
          <w:right w:val="single" w:sz="8" w:space="0" w:color="E4DEDB"/>
          <w:insideH w:val="single" w:sz="8" w:space="0" w:color="E4DEDB"/>
          <w:insideV w:val="single" w:sz="8" w:space="0" w:color="E4DEDB"/>
        </w:tblBorders>
        <w:tblLayout w:type="fixed"/>
        <w:tblLook w:val="0400" w:firstRow="0" w:lastRow="0" w:firstColumn="0" w:lastColumn="0" w:noHBand="0" w:noVBand="1"/>
      </w:tblPr>
      <w:tblGrid>
        <w:gridCol w:w="6045"/>
        <w:gridCol w:w="660"/>
        <w:gridCol w:w="4110"/>
      </w:tblGrid>
      <w:tr w:rsidR="00116BA3" w14:paraId="6F6A4734" w14:textId="77777777">
        <w:trPr>
          <w:trHeight w:val="460"/>
        </w:trPr>
        <w:tc>
          <w:tcPr>
            <w:tcW w:w="10815" w:type="dxa"/>
            <w:gridSpan w:val="3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vAlign w:val="center"/>
          </w:tcPr>
          <w:p w14:paraId="7EA0870F" w14:textId="77777777" w:rsidR="00116BA3" w:rsidRDefault="00000000">
            <w:pPr>
              <w:rPr>
                <w:rFonts w:ascii="Proxima Nova" w:eastAsia="Proxima Nova" w:hAnsi="Proxima Nova" w:cs="Proxima Nova"/>
                <w:b/>
                <w:color w:val="FFFFFF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24"/>
                <w:szCs w:val="24"/>
                <w:u w:val="single"/>
              </w:rPr>
              <w:t>Role:</w:t>
            </w:r>
            <w:r>
              <w:rPr>
                <w:rFonts w:ascii="Proxima Nova" w:eastAsia="Proxima Nova" w:hAnsi="Proxima Nova" w:cs="Proxima Nova"/>
                <w:b/>
                <w:color w:val="FFFFFF"/>
                <w:sz w:val="24"/>
                <w:szCs w:val="24"/>
              </w:rPr>
              <w:t xml:space="preserve"> The strategist in charge of growing and nurturing our most important resource—our people</w:t>
            </w:r>
          </w:p>
        </w:tc>
      </w:tr>
      <w:tr w:rsidR="00116BA3" w14:paraId="77EB95DF" w14:textId="77777777">
        <w:trPr>
          <w:trHeight w:val="460"/>
        </w:trPr>
        <w:tc>
          <w:tcPr>
            <w:tcW w:w="604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B3A805D" w14:textId="77777777" w:rsidR="00116BA3" w:rsidRDefault="00000000">
            <w:pPr>
              <w:jc w:val="center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Must-have </w:t>
            </w:r>
          </w:p>
          <w:p w14:paraId="6E5B4DF8" w14:textId="77777777" w:rsidR="00116BA3" w:rsidRDefault="00000000">
            <w:pPr>
              <w:jc w:val="center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i/>
                <w:sz w:val="20"/>
                <w:szCs w:val="20"/>
              </w:rPr>
              <w:t>(These describe a 4. This is not the highest ideal; it’s a description of the fundamentals.)</w:t>
            </w:r>
          </w:p>
        </w:tc>
        <w:tc>
          <w:tcPr>
            <w:tcW w:w="66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FCB094C" w14:textId="77777777" w:rsidR="00116BA3" w:rsidRDefault="00000000">
            <w:pPr>
              <w:jc w:val="center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1-4                </w:t>
            </w:r>
          </w:p>
        </w:tc>
        <w:tc>
          <w:tcPr>
            <w:tcW w:w="411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B307928" w14:textId="77777777" w:rsidR="00116BA3" w:rsidRDefault="00000000">
            <w:pPr>
              <w:jc w:val="center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Comments/Examples/Evidence</w:t>
            </w:r>
          </w:p>
          <w:p w14:paraId="3DA4D77C" w14:textId="77777777" w:rsidR="00116BA3" w:rsidRDefault="00000000">
            <w:pPr>
              <w:jc w:val="center"/>
              <w:rPr>
                <w:rFonts w:ascii="Proxima Nova" w:eastAsia="Proxima Nova" w:hAnsi="Proxima Nova" w:cs="Proxima Nova"/>
                <w:i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i/>
                <w:sz w:val="20"/>
                <w:szCs w:val="20"/>
              </w:rPr>
              <w:t>Please note 1-2 examples of what you observed; if you have questions or concerns, include them.</w:t>
            </w:r>
          </w:p>
        </w:tc>
      </w:tr>
      <w:tr w:rsidR="00116BA3" w14:paraId="4304B6DD" w14:textId="77777777">
        <w:trPr>
          <w:trHeight w:val="920"/>
        </w:trPr>
        <w:tc>
          <w:tcPr>
            <w:tcW w:w="604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3E18672" w14:textId="77777777" w:rsidR="00116BA3" w:rsidRDefault="00000000">
            <w:pPr>
              <w:rPr>
                <w:rFonts w:ascii="Proxima Nova" w:eastAsia="Proxima Nova" w:hAnsi="Proxima Nova" w:cs="Proxima Nova"/>
                <w:b/>
                <w:color w:val="4D4D50"/>
                <w:highlight w:val="white"/>
                <w:u w:val="single"/>
              </w:rPr>
            </w:pPr>
            <w:r>
              <w:rPr>
                <w:rFonts w:ascii="Proxima Nova" w:eastAsia="Proxima Nova" w:hAnsi="Proxima Nova" w:cs="Proxima Nova"/>
                <w:b/>
                <w:u w:val="single"/>
              </w:rPr>
              <w:t>Vision—problem solving and systems thinking:</w:t>
            </w:r>
          </w:p>
          <w:p w14:paraId="1DEF95C3" w14:textId="77777777" w:rsidR="00116BA3" w:rsidRDefault="00000000">
            <w:pPr>
              <w:numPr>
                <w:ilvl w:val="0"/>
                <w:numId w:val="5"/>
              </w:numPr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Able to develop and communicate a vision for growing and developing our talent, and to devise creative, pragmatic solutions and strong systems to help us move forward on difficult challenges, including organizational/management policies and practices that may yield inequitable outcomes.</w:t>
            </w:r>
          </w:p>
          <w:p w14:paraId="0B512539" w14:textId="77777777" w:rsidR="00116BA3" w:rsidRDefault="00000000">
            <w:pPr>
              <w:numPr>
                <w:ilvl w:val="0"/>
                <w:numId w:val="5"/>
              </w:numPr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Can see the big picture and spot patterns across seemingly disparate ideas/actions, and can articulate how to turn vision into a concrete multi-year action plan.</w:t>
            </w:r>
          </w:p>
        </w:tc>
        <w:tc>
          <w:tcPr>
            <w:tcW w:w="66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30DA4D8" w14:textId="77777777" w:rsidR="00116BA3" w:rsidRDefault="00116BA3">
            <w:pP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411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D79C197" w14:textId="77777777" w:rsidR="00116BA3" w:rsidRDefault="00116BA3">
            <w:pPr>
              <w:rPr>
                <w:rFonts w:ascii="Proxima Nova" w:eastAsia="Proxima Nova" w:hAnsi="Proxima Nova" w:cs="Proxima Nova"/>
              </w:rPr>
            </w:pPr>
          </w:p>
        </w:tc>
      </w:tr>
      <w:tr w:rsidR="00116BA3" w14:paraId="13B12D0C" w14:textId="77777777">
        <w:trPr>
          <w:trHeight w:val="920"/>
        </w:trPr>
        <w:tc>
          <w:tcPr>
            <w:tcW w:w="604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6E8239D" w14:textId="77777777" w:rsidR="00116BA3" w:rsidRDefault="00000000">
            <w:pPr>
              <w:rPr>
                <w:rFonts w:ascii="Proxima Nova" w:eastAsia="Proxima Nova" w:hAnsi="Proxima Nova" w:cs="Proxima Nova"/>
                <w:u w:val="single"/>
              </w:rPr>
            </w:pPr>
            <w:r>
              <w:rPr>
                <w:rFonts w:ascii="Proxima Nova" w:eastAsia="Proxima Nova" w:hAnsi="Proxima Nova" w:cs="Proxima Nova"/>
                <w:b/>
                <w:u w:val="single"/>
              </w:rPr>
              <w:t>High bar and discerning eye for talent:</w:t>
            </w:r>
          </w:p>
          <w:p w14:paraId="32AB0405" w14:textId="77777777" w:rsidR="00116BA3" w:rsidRDefault="00000000">
            <w:pPr>
              <w:numPr>
                <w:ilvl w:val="0"/>
                <w:numId w:val="2"/>
              </w:numPr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Has a discerning eye for talent and strong instincts on who can be successful in the areas we need most. </w:t>
            </w:r>
          </w:p>
          <w:p w14:paraId="65C60051" w14:textId="77777777" w:rsidR="00116BA3" w:rsidRDefault="00000000">
            <w:pPr>
              <w:numPr>
                <w:ilvl w:val="0"/>
                <w:numId w:val="2"/>
              </w:numPr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Has a knack for spotting true talent (people who can actually deliver) within a pool of solid applicants and can set up systems that mitigate bias in the hiring process. </w:t>
            </w:r>
          </w:p>
          <w:p w14:paraId="78070EB8" w14:textId="77777777" w:rsidR="00116BA3" w:rsidRDefault="00000000">
            <w:pPr>
              <w:numPr>
                <w:ilvl w:val="0"/>
                <w:numId w:val="2"/>
              </w:numPr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Able to think strategically about how to cultivate relationships to find the candidates we need, and engage effectively internally to generate and improve ideas.</w:t>
            </w:r>
          </w:p>
        </w:tc>
        <w:tc>
          <w:tcPr>
            <w:tcW w:w="66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1CCAD3E" w14:textId="77777777" w:rsidR="00116BA3" w:rsidRDefault="00116BA3">
            <w:pP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411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1EFBDD" w14:textId="77777777" w:rsidR="00116BA3" w:rsidRDefault="00116BA3">
            <w:pPr>
              <w:ind w:right="-105"/>
              <w:rPr>
                <w:rFonts w:ascii="Proxima Nova" w:eastAsia="Proxima Nova" w:hAnsi="Proxima Nova" w:cs="Proxima Nova"/>
              </w:rPr>
            </w:pPr>
          </w:p>
        </w:tc>
      </w:tr>
      <w:tr w:rsidR="00116BA3" w14:paraId="7FB3AFE6" w14:textId="77777777">
        <w:trPr>
          <w:trHeight w:val="600"/>
        </w:trPr>
        <w:tc>
          <w:tcPr>
            <w:tcW w:w="604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F19DE15" w14:textId="77777777" w:rsidR="00116BA3" w:rsidRDefault="00000000">
            <w:pPr>
              <w:rPr>
                <w:rFonts w:ascii="Proxima Nova" w:eastAsia="Proxima Nova" w:hAnsi="Proxima Nova" w:cs="Proxima Nova"/>
                <w:b/>
                <w:u w:val="single"/>
              </w:rPr>
            </w:pPr>
            <w:r>
              <w:rPr>
                <w:rFonts w:ascii="Proxima Nova" w:eastAsia="Proxima Nova" w:hAnsi="Proxima Nova" w:cs="Proxima Nova"/>
                <w:b/>
                <w:u w:val="single"/>
              </w:rPr>
              <w:t>Racial equity and inclusion competency:</w:t>
            </w:r>
          </w:p>
          <w:p w14:paraId="6E69925C" w14:textId="77777777" w:rsidR="00116BA3" w:rsidRDefault="00000000">
            <w:pPr>
              <w:numPr>
                <w:ilvl w:val="0"/>
                <w:numId w:val="1"/>
              </w:numPr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Experience successfully devising creative, concrete, and pragmatic ways to address or prevent potential equity challenges, including in hiring and organizational policies, systems, and practices.</w:t>
            </w:r>
          </w:p>
          <w:p w14:paraId="6320BF3E" w14:textId="77777777" w:rsidR="00116BA3" w:rsidRDefault="00000000">
            <w:pPr>
              <w:numPr>
                <w:ilvl w:val="0"/>
                <w:numId w:val="1"/>
              </w:numPr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lastRenderedPageBreak/>
              <w:t>Wrestles with complexities faced by senior leaders and identifies impacts of internal equity and inclusion issues on staff. Exercises excellent judgment in assessing trade-offs and finding strategic third way approaches or mitigations, and can prioritize solutions for maximum impact.</w:t>
            </w:r>
          </w:p>
          <w:p w14:paraId="7A55960C" w14:textId="77777777" w:rsidR="00116BA3" w:rsidRDefault="00000000">
            <w:pPr>
              <w:numPr>
                <w:ilvl w:val="0"/>
                <w:numId w:val="1"/>
              </w:numPr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Able to reflect on and describe the impact of one’s own identities—and those of others—in a given situation, decision, or process with a “continuous improvement” mindset, and build strong relationships across lines of difference (be they race, gender, or other identities).</w:t>
            </w:r>
          </w:p>
        </w:tc>
        <w:tc>
          <w:tcPr>
            <w:tcW w:w="66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06A331C" w14:textId="77777777" w:rsidR="00116BA3" w:rsidRDefault="00116BA3">
            <w:pP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411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537909D" w14:textId="77777777" w:rsidR="00116BA3" w:rsidRDefault="00116BA3">
            <w:pPr>
              <w:rPr>
                <w:rFonts w:ascii="Proxima Nova" w:eastAsia="Proxima Nova" w:hAnsi="Proxima Nova" w:cs="Proxima Nova"/>
              </w:rPr>
            </w:pPr>
          </w:p>
        </w:tc>
      </w:tr>
      <w:tr w:rsidR="00116BA3" w14:paraId="50C02FB2" w14:textId="77777777">
        <w:trPr>
          <w:trHeight w:val="600"/>
        </w:trPr>
        <w:tc>
          <w:tcPr>
            <w:tcW w:w="604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B6FF4BB" w14:textId="77777777" w:rsidR="00116BA3" w:rsidRDefault="00000000">
            <w:pPr>
              <w:rPr>
                <w:rFonts w:ascii="Proxima Nova" w:eastAsia="Proxima Nova" w:hAnsi="Proxima Nova" w:cs="Proxima Nova"/>
                <w:b/>
                <w:u w:val="single"/>
              </w:rPr>
            </w:pPr>
            <w:r>
              <w:rPr>
                <w:rFonts w:ascii="Proxima Nova" w:eastAsia="Proxima Nova" w:hAnsi="Proxima Nova" w:cs="Proxima Nova"/>
                <w:b/>
                <w:u w:val="single"/>
              </w:rPr>
              <w:t>Inclusive and collaborative management approach:</w:t>
            </w:r>
          </w:p>
          <w:p w14:paraId="010C6C40" w14:textId="77777777" w:rsidR="00116BA3" w:rsidRDefault="00000000">
            <w:pPr>
              <w:numPr>
                <w:ilvl w:val="0"/>
                <w:numId w:val="4"/>
              </w:numPr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Has ample experience recruiting candidates and/or managing people, including building teams that are inclusive of people with marginalized identities.</w:t>
            </w:r>
          </w:p>
          <w:p w14:paraId="54A17D35" w14:textId="77777777" w:rsidR="00116BA3" w:rsidRDefault="00000000">
            <w:pPr>
              <w:numPr>
                <w:ilvl w:val="0"/>
                <w:numId w:val="4"/>
              </w:numPr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Can translate their experience into concrete plans for staff development, retention, and improving culture, and can be a trusted thought partner for managers on staff issues with an eye toward equity and inclusion.</w:t>
            </w:r>
          </w:p>
        </w:tc>
        <w:tc>
          <w:tcPr>
            <w:tcW w:w="66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24D4FAB" w14:textId="77777777" w:rsidR="00116BA3" w:rsidRDefault="00116BA3">
            <w:pP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411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AF62A42" w14:textId="77777777" w:rsidR="00116BA3" w:rsidRDefault="00116BA3">
            <w:pPr>
              <w:rPr>
                <w:rFonts w:ascii="Proxima Nova" w:eastAsia="Proxima Nova" w:hAnsi="Proxima Nova" w:cs="Proxima Nova"/>
              </w:rPr>
            </w:pPr>
          </w:p>
        </w:tc>
      </w:tr>
      <w:tr w:rsidR="00116BA3" w14:paraId="52329C92" w14:textId="77777777">
        <w:trPr>
          <w:trHeight w:val="60"/>
        </w:trPr>
        <w:tc>
          <w:tcPr>
            <w:tcW w:w="604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7F2941B" w14:textId="77777777" w:rsidR="00116BA3" w:rsidRDefault="00000000">
            <w:pPr>
              <w:rPr>
                <w:rFonts w:ascii="Proxima Nova" w:eastAsia="Proxima Nova" w:hAnsi="Proxima Nova" w:cs="Proxima Nova"/>
                <w:b/>
                <w:u w:val="single"/>
              </w:rPr>
            </w:pPr>
            <w:r>
              <w:rPr>
                <w:rFonts w:ascii="Proxima Nova" w:eastAsia="Proxima Nova" w:hAnsi="Proxima Nova" w:cs="Proxima Nova"/>
                <w:b/>
                <w:u w:val="single"/>
              </w:rPr>
              <w:t>Project management:</w:t>
            </w:r>
          </w:p>
          <w:p w14:paraId="3028C4D9" w14:textId="77777777" w:rsidR="00116BA3" w:rsidRDefault="00000000">
            <w:pPr>
              <w:numPr>
                <w:ilvl w:val="0"/>
                <w:numId w:val="3"/>
              </w:numPr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Can oversee a variety of talent-related projects and collaborate with others to develop effective, equitable, sustainable hiring and retention systems (such as compensation guidelines, recruitment plans, performance evaluations, retention plans, and career pathways).</w:t>
            </w:r>
          </w:p>
          <w:p w14:paraId="2714882F" w14:textId="77777777" w:rsidR="00116BA3" w:rsidRDefault="00000000">
            <w:pPr>
              <w:numPr>
                <w:ilvl w:val="0"/>
                <w:numId w:val="3"/>
              </w:numPr>
              <w:ind w:left="45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Plans ahead and finds alternative paths, when needed, to get to the finish line. Can see projects through to completion on-scope and within time/budget constraints.</w:t>
            </w:r>
          </w:p>
        </w:tc>
        <w:tc>
          <w:tcPr>
            <w:tcW w:w="66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9B93443" w14:textId="77777777" w:rsidR="00116BA3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 </w:t>
            </w:r>
          </w:p>
        </w:tc>
        <w:tc>
          <w:tcPr>
            <w:tcW w:w="411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116C93B" w14:textId="77777777" w:rsidR="00116BA3" w:rsidRDefault="00116BA3">
            <w:pPr>
              <w:rPr>
                <w:rFonts w:ascii="Proxima Nova" w:eastAsia="Proxima Nova" w:hAnsi="Proxima Nova" w:cs="Proxima Nova"/>
              </w:rPr>
            </w:pPr>
          </w:p>
        </w:tc>
      </w:tr>
      <w:tr w:rsidR="00116BA3" w14:paraId="6D4F4A65" w14:textId="77777777">
        <w:trPr>
          <w:trHeight w:val="60"/>
        </w:trPr>
        <w:tc>
          <w:tcPr>
            <w:tcW w:w="604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AAD7975" w14:textId="77777777" w:rsidR="00116BA3" w:rsidRDefault="0000000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Relationship-building and interpersonal skills:</w:t>
            </w:r>
          </w:p>
          <w:p w14:paraId="6C197756" w14:textId="77777777" w:rsidR="00116BA3" w:rsidRDefault="00000000">
            <w:pPr>
              <w:numPr>
                <w:ilvl w:val="0"/>
                <w:numId w:val="6"/>
              </w:numPr>
              <w:ind w:left="450"/>
            </w:pPr>
            <w:r>
              <w:t>Able to quickly build strong relationships across identities and lines of power—with staff, prospective candidates, and connectors in the field, especially with our executive director and senior team.</w:t>
            </w:r>
          </w:p>
          <w:p w14:paraId="28040592" w14:textId="77777777" w:rsidR="00116BA3" w:rsidRDefault="00000000">
            <w:pPr>
              <w:numPr>
                <w:ilvl w:val="0"/>
                <w:numId w:val="6"/>
              </w:numPr>
              <w:spacing w:line="276" w:lineRule="auto"/>
              <w:ind w:left="450"/>
            </w:pPr>
            <w:r>
              <w:t xml:space="preserve">Able to cultivate genuine partnership and motivate others (who aren’t direct reports) without hierarchical power. </w:t>
            </w:r>
          </w:p>
        </w:tc>
        <w:tc>
          <w:tcPr>
            <w:tcW w:w="66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D567819" w14:textId="77777777" w:rsidR="00116BA3" w:rsidRDefault="00116BA3">
            <w:pP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411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94A2A8E" w14:textId="77777777" w:rsidR="00116BA3" w:rsidRDefault="00116BA3">
            <w:pPr>
              <w:rPr>
                <w:rFonts w:ascii="Proxima Nova" w:eastAsia="Proxima Nova" w:hAnsi="Proxima Nova" w:cs="Proxima Nova"/>
              </w:rPr>
            </w:pPr>
          </w:p>
        </w:tc>
      </w:tr>
      <w:tr w:rsidR="00116BA3" w14:paraId="056C5872" w14:textId="77777777">
        <w:trPr>
          <w:trHeight w:val="60"/>
        </w:trPr>
        <w:tc>
          <w:tcPr>
            <w:tcW w:w="604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5E60978" w14:textId="77777777" w:rsidR="00116BA3" w:rsidRDefault="00000000">
            <w:pPr>
              <w:rPr>
                <w:b/>
                <w:u w:val="single"/>
              </w:rPr>
            </w:pPr>
            <w:r>
              <w:rPr>
                <w:b/>
              </w:rPr>
              <w:t>Other comments:</w:t>
            </w:r>
            <w:r>
              <w:t xml:space="preserve"> Prior experience in the progressive advocacy, educational equity, or broader nonprofit arenas is a plus, but not a requirement.</w:t>
            </w:r>
          </w:p>
        </w:tc>
        <w:tc>
          <w:tcPr>
            <w:tcW w:w="66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505EEFA" w14:textId="77777777" w:rsidR="00116BA3" w:rsidRDefault="00116BA3">
            <w:pP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411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FADB101" w14:textId="77777777" w:rsidR="00116BA3" w:rsidRDefault="00116BA3">
            <w:pPr>
              <w:rPr>
                <w:rFonts w:ascii="Proxima Nova" w:eastAsia="Proxima Nova" w:hAnsi="Proxima Nova" w:cs="Proxima Nova"/>
              </w:rPr>
            </w:pPr>
          </w:p>
        </w:tc>
      </w:tr>
      <w:tr w:rsidR="00116BA3" w14:paraId="0E2E5C09" w14:textId="77777777">
        <w:trPr>
          <w:trHeight w:val="240"/>
        </w:trPr>
        <w:tc>
          <w:tcPr>
            <w:tcW w:w="10815" w:type="dxa"/>
            <w:gridSpan w:val="3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vAlign w:val="center"/>
          </w:tcPr>
          <w:p w14:paraId="2889C22A" w14:textId="77777777" w:rsidR="00116BA3" w:rsidRDefault="00000000">
            <w:pPr>
              <w:spacing w:after="120"/>
              <w:ind w:right="-547"/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 xml:space="preserve">Overall recommendation: </w:t>
            </w:r>
          </w:p>
          <w:p w14:paraId="47EA9A4D" w14:textId="77777777" w:rsidR="00116BA3" w:rsidRDefault="00116BA3"/>
        </w:tc>
      </w:tr>
    </w:tbl>
    <w:p w14:paraId="238D7381" w14:textId="77777777" w:rsidR="00116BA3" w:rsidRDefault="00116BA3">
      <w:pPr>
        <w:rPr>
          <w:b/>
        </w:rPr>
      </w:pPr>
    </w:p>
    <w:p w14:paraId="0494D21E" w14:textId="77777777" w:rsidR="00116BA3" w:rsidRDefault="00116BA3">
      <w:pPr>
        <w:rPr>
          <w:b/>
          <w:sz w:val="20"/>
          <w:szCs w:val="20"/>
        </w:rPr>
      </w:pPr>
    </w:p>
    <w:p w14:paraId="5C4D697E" w14:textId="77777777" w:rsidR="00116BA3" w:rsidRDefault="00116BA3">
      <w:pPr>
        <w:ind w:left="-540" w:right="-540"/>
        <w:rPr>
          <w:sz w:val="24"/>
          <w:szCs w:val="24"/>
        </w:rPr>
      </w:pPr>
    </w:p>
    <w:p w14:paraId="20D4E124" w14:textId="77777777" w:rsidR="00116BA3" w:rsidRDefault="00116BA3">
      <w:pPr>
        <w:ind w:right="-540"/>
        <w:rPr>
          <w:b/>
          <w:i/>
          <w:highlight w:val="yellow"/>
        </w:rPr>
      </w:pPr>
    </w:p>
    <w:sectPr w:rsidR="00116BA3"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144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6261A" w14:textId="77777777" w:rsidR="00044CAC" w:rsidRDefault="00044CAC">
      <w:r>
        <w:separator/>
      </w:r>
    </w:p>
  </w:endnote>
  <w:endnote w:type="continuationSeparator" w:id="0">
    <w:p w14:paraId="2D22B4AC" w14:textId="77777777" w:rsidR="00044CAC" w:rsidRDefault="0004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panose1 w:val="020B0604020202020204"/>
    <w:charset w:val="00"/>
    <w:family w:val="auto"/>
    <w:pitch w:val="default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51391" w14:textId="5E7A09E2" w:rsidR="00116BA3" w:rsidRDefault="00000000">
    <w:pPr>
      <w:tabs>
        <w:tab w:val="center" w:pos="4320"/>
        <w:tab w:val="right" w:pos="8640"/>
      </w:tabs>
      <w:rPr>
        <w:color w:val="666666"/>
        <w:sz w:val="20"/>
        <w:szCs w:val="20"/>
      </w:rPr>
    </w:pPr>
    <w:r>
      <w:rPr>
        <w:rFonts w:ascii="Proxima Nova" w:eastAsia="Proxima Nova" w:hAnsi="Proxima Nova" w:cs="Proxima Nova"/>
        <w:color w:val="9E9790"/>
        <w:sz w:val="20"/>
        <w:szCs w:val="20"/>
      </w:rPr>
      <w:t>©The Management Center</w:t>
    </w:r>
    <w:r>
      <w:rPr>
        <w:color w:val="666666"/>
        <w:sz w:val="20"/>
        <w:szCs w:val="20"/>
      </w:rPr>
      <w:t xml:space="preserve">                                     </w:t>
    </w:r>
    <w:r>
      <w:rPr>
        <w:rFonts w:ascii="Proxima Nova" w:eastAsia="Proxima Nova" w:hAnsi="Proxima Nova" w:cs="Proxima Nova"/>
        <w:color w:val="9E9790"/>
        <w:sz w:val="20"/>
        <w:szCs w:val="20"/>
      </w:rPr>
      <w:t>CTO Hiring Rubric Sample</w:t>
    </w:r>
    <w:r>
      <w:rPr>
        <w:rFonts w:ascii="Proxima Nova" w:eastAsia="Proxima Nova" w:hAnsi="Proxima Nova" w:cs="Proxima Nova"/>
        <w:color w:val="9E9790"/>
        <w:sz w:val="20"/>
        <w:szCs w:val="20"/>
      </w:rPr>
      <w:tab/>
      <w:t xml:space="preserve">     </w:t>
    </w:r>
    <w:r>
      <w:rPr>
        <w:rFonts w:ascii="Proxima Nova" w:eastAsia="Proxima Nova" w:hAnsi="Proxima Nova" w:cs="Proxima Nova"/>
        <w:color w:val="9E9790"/>
        <w:sz w:val="20"/>
        <w:szCs w:val="20"/>
      </w:rPr>
      <w:tab/>
      <w:t xml:space="preserve">             </w:t>
    </w:r>
    <w:r>
      <w:rPr>
        <w:rFonts w:ascii="Proxima Nova" w:eastAsia="Proxima Nova" w:hAnsi="Proxima Nova" w:cs="Proxima Nova"/>
        <w:color w:val="9E9790"/>
        <w:sz w:val="20"/>
        <w:szCs w:val="20"/>
      </w:rPr>
      <w:tab/>
      <w:t xml:space="preserve">           </w:t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begin"/>
    </w:r>
    <w:r>
      <w:rPr>
        <w:rFonts w:ascii="Proxima Nova" w:eastAsia="Proxima Nova" w:hAnsi="Proxima Nova" w:cs="Proxima Nova"/>
        <w:color w:val="9E9790"/>
        <w:sz w:val="20"/>
        <w:szCs w:val="20"/>
      </w:rPr>
      <w:instrText>PAGE</w:instrText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separate"/>
    </w:r>
    <w:r w:rsidR="002946F7">
      <w:rPr>
        <w:rFonts w:ascii="Proxima Nova" w:eastAsia="Proxima Nova" w:hAnsi="Proxima Nova" w:cs="Proxima Nova"/>
        <w:noProof/>
        <w:color w:val="9E9790"/>
        <w:sz w:val="20"/>
        <w:szCs w:val="20"/>
      </w:rPr>
      <w:t>2</w:t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C5613" w14:textId="77777777" w:rsidR="00116BA3" w:rsidRDefault="00000000">
    <w:pPr>
      <w:tabs>
        <w:tab w:val="center" w:pos="5040"/>
        <w:tab w:val="right" w:pos="10800"/>
      </w:tabs>
      <w:rPr>
        <w:rFonts w:ascii="Proxima Nova" w:eastAsia="Proxima Nova" w:hAnsi="Proxima Nova" w:cs="Proxima Nova"/>
        <w:color w:val="FFFFFF"/>
        <w:sz w:val="20"/>
        <w:szCs w:val="20"/>
      </w:rPr>
    </w:pPr>
    <w:r>
      <w:rPr>
        <w:rFonts w:ascii="Proxima Nova" w:eastAsia="Proxima Nova" w:hAnsi="Proxima Nova" w:cs="Proxima Nova"/>
        <w:color w:val="9E9790"/>
        <w:sz w:val="20"/>
        <w:szCs w:val="20"/>
      </w:rPr>
      <w:t xml:space="preserve">©The Management Center </w:t>
    </w:r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FFFFFF"/>
        <w:sz w:val="20"/>
        <w:szCs w:val="20"/>
      </w:rPr>
      <w:t>Date Created: 2/12/19</w:t>
    </w:r>
  </w:p>
  <w:p w14:paraId="70FEF11D" w14:textId="77777777" w:rsidR="00116BA3" w:rsidRDefault="00000000">
    <w:pPr>
      <w:tabs>
        <w:tab w:val="center" w:pos="5040"/>
        <w:tab w:val="right" w:pos="10800"/>
      </w:tabs>
      <w:rPr>
        <w:color w:val="666666"/>
        <w:sz w:val="20"/>
        <w:szCs w:val="20"/>
      </w:rPr>
    </w:pPr>
    <w:r>
      <w:rPr>
        <w:rFonts w:ascii="Proxima Nova" w:eastAsia="Proxima Nova" w:hAnsi="Proxima Nova" w:cs="Proxima Nova"/>
        <w:color w:val="FFFFFF"/>
        <w:sz w:val="20"/>
        <w:szCs w:val="20"/>
      </w:rPr>
      <w:tab/>
    </w:r>
    <w:r>
      <w:rPr>
        <w:rFonts w:ascii="Proxima Nova" w:eastAsia="Proxima Nova" w:hAnsi="Proxima Nova" w:cs="Proxima Nova"/>
        <w:color w:val="FFFFFF"/>
        <w:sz w:val="20"/>
        <w:szCs w:val="20"/>
      </w:rPr>
      <w:tab/>
      <w:t>Last Modified: 12/9/22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0BDD0" w14:textId="77777777" w:rsidR="00044CAC" w:rsidRDefault="00044CAC">
      <w:r>
        <w:separator/>
      </w:r>
    </w:p>
  </w:footnote>
  <w:footnote w:type="continuationSeparator" w:id="0">
    <w:p w14:paraId="7731AF03" w14:textId="77777777" w:rsidR="00044CAC" w:rsidRDefault="00044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8700" w14:textId="77777777" w:rsidR="00116BA3" w:rsidRDefault="00000000">
    <w:pPr>
      <w:tabs>
        <w:tab w:val="center" w:pos="4320"/>
        <w:tab w:val="right" w:pos="8640"/>
      </w:tabs>
      <w:ind w:left="-540" w:right="-240"/>
    </w:pPr>
    <w:r>
      <w:rPr>
        <w:rFonts w:ascii="Cambria" w:eastAsia="Cambria" w:hAnsi="Cambria" w:cs="Cambria"/>
        <w:noProof/>
        <w:sz w:val="24"/>
        <w:szCs w:val="24"/>
      </w:rPr>
      <w:drawing>
        <wp:inline distT="114300" distB="114300" distL="114300" distR="114300" wp14:anchorId="1C56D046" wp14:editId="4980CA6C">
          <wp:extent cx="7550468" cy="47894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24952"/>
                  <a:stretch>
                    <a:fillRect/>
                  </a:stretch>
                </pic:blipFill>
                <pic:spPr>
                  <a:xfrm>
                    <a:off x="0" y="0"/>
                    <a:ext cx="7550468" cy="4789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C0A"/>
    <w:multiLevelType w:val="multilevel"/>
    <w:tmpl w:val="70B65D4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D4D50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6F2DFD"/>
    <w:multiLevelType w:val="multilevel"/>
    <w:tmpl w:val="FF96B83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D4D50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EE4876"/>
    <w:multiLevelType w:val="multilevel"/>
    <w:tmpl w:val="51163F5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D4D50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745D6B"/>
    <w:multiLevelType w:val="multilevel"/>
    <w:tmpl w:val="13A033C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D4D50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A9556BF"/>
    <w:multiLevelType w:val="multilevel"/>
    <w:tmpl w:val="3318AFE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D4D50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6903AE4"/>
    <w:multiLevelType w:val="multilevel"/>
    <w:tmpl w:val="03F060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98910498">
    <w:abstractNumId w:val="2"/>
  </w:num>
  <w:num w:numId="2" w16cid:durableId="569847471">
    <w:abstractNumId w:val="1"/>
  </w:num>
  <w:num w:numId="3" w16cid:durableId="382097719">
    <w:abstractNumId w:val="3"/>
  </w:num>
  <w:num w:numId="4" w16cid:durableId="2097363149">
    <w:abstractNumId w:val="4"/>
  </w:num>
  <w:num w:numId="5" w16cid:durableId="233397774">
    <w:abstractNumId w:val="0"/>
  </w:num>
  <w:num w:numId="6" w16cid:durableId="2059620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BA3"/>
    <w:rsid w:val="00044CAC"/>
    <w:rsid w:val="00116BA3"/>
    <w:rsid w:val="0029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5DD325"/>
  <w15:docId w15:val="{E10B5AC8-2FEB-914B-A460-3E7CDA6D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/>
      <w:outlineLvl w:val="0"/>
    </w:pPr>
    <w:rPr>
      <w:b/>
      <w:color w:val="802144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120"/>
      <w:ind w:right="-620"/>
      <w:outlineLvl w:val="1"/>
    </w:pPr>
    <w:rPr>
      <w:b/>
      <w:color w:val="07627C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200"/>
      <w:outlineLvl w:val="2"/>
    </w:pPr>
    <w:rPr>
      <w:b/>
      <w:color w:val="2A2C2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b/>
      <w:color w:val="802144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jc w:val="center"/>
    </w:pPr>
    <w:rPr>
      <w:i/>
      <w:color w:val="77777A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anagementcenter.org/resources/why-you-need-chief-talent-office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Justine Xu</cp:lastModifiedBy>
  <cp:revision>2</cp:revision>
  <dcterms:created xsi:type="dcterms:W3CDTF">2023-01-17T06:01:00Z</dcterms:created>
  <dcterms:modified xsi:type="dcterms:W3CDTF">2023-01-17T06:01:00Z</dcterms:modified>
</cp:coreProperties>
</file>